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632" w:rsidRPr="009C2C94" w:rsidRDefault="00D57681" w:rsidP="00DE0632">
      <w:pPr>
        <w:spacing w:line="480" w:lineRule="auto"/>
        <w:contextualSpacing/>
        <w:jc w:val="center"/>
        <w:rPr>
          <w:sz w:val="32"/>
          <w:szCs w:val="32"/>
        </w:rPr>
      </w:pPr>
      <w:r w:rsidRPr="00D57681">
        <w:rPr>
          <w:noProof/>
          <w:sz w:val="32"/>
          <w:szCs w:val="32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1002461</wp:posOffset>
            </wp:positionH>
            <wp:positionV relativeFrom="paragraph">
              <wp:posOffset>86264</wp:posOffset>
            </wp:positionV>
            <wp:extent cx="3966354" cy="1147313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6354" cy="11473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E0632" w:rsidRPr="009C2C94" w:rsidRDefault="00DE0632" w:rsidP="00DE0632">
      <w:pPr>
        <w:spacing w:line="480" w:lineRule="auto"/>
        <w:contextualSpacing/>
        <w:jc w:val="center"/>
        <w:rPr>
          <w:sz w:val="32"/>
          <w:szCs w:val="32"/>
        </w:rPr>
      </w:pPr>
    </w:p>
    <w:p w:rsidR="00DE0632" w:rsidRPr="009C2C94" w:rsidRDefault="00DE0632" w:rsidP="00DE0632">
      <w:pPr>
        <w:spacing w:line="480" w:lineRule="auto"/>
        <w:contextualSpacing/>
        <w:jc w:val="center"/>
        <w:rPr>
          <w:sz w:val="32"/>
          <w:szCs w:val="32"/>
        </w:rPr>
      </w:pPr>
    </w:p>
    <w:p w:rsidR="00DE0632" w:rsidRPr="00E72CD2" w:rsidRDefault="00DE0632" w:rsidP="00DE0632">
      <w:pPr>
        <w:spacing w:line="480" w:lineRule="auto"/>
        <w:contextualSpacing/>
        <w:jc w:val="center"/>
        <w:rPr>
          <w:sz w:val="36"/>
          <w:szCs w:val="32"/>
        </w:rPr>
      </w:pPr>
    </w:p>
    <w:p w:rsidR="00DE0632" w:rsidRPr="006A73E0" w:rsidRDefault="00DE0632" w:rsidP="00DE0632">
      <w:pPr>
        <w:spacing w:line="480" w:lineRule="auto"/>
        <w:contextualSpacing/>
        <w:jc w:val="center"/>
        <w:rPr>
          <w:b/>
          <w:sz w:val="40"/>
          <w:szCs w:val="32"/>
        </w:rPr>
      </w:pPr>
      <w:r w:rsidRPr="006A73E0">
        <w:rPr>
          <w:b/>
          <w:sz w:val="40"/>
          <w:szCs w:val="32"/>
        </w:rPr>
        <w:t>Window Technology</w:t>
      </w:r>
    </w:p>
    <w:p w:rsidR="00DE0632" w:rsidRPr="006A73E0" w:rsidRDefault="00DE0632" w:rsidP="00DE0632">
      <w:pPr>
        <w:spacing w:line="480" w:lineRule="auto"/>
        <w:contextualSpacing/>
        <w:jc w:val="center"/>
        <w:rPr>
          <w:sz w:val="28"/>
          <w:szCs w:val="32"/>
        </w:rPr>
      </w:pPr>
      <w:proofErr w:type="gramStart"/>
      <w:r w:rsidRPr="006A73E0">
        <w:rPr>
          <w:sz w:val="28"/>
          <w:szCs w:val="32"/>
        </w:rPr>
        <w:t>for</w:t>
      </w:r>
      <w:proofErr w:type="gramEnd"/>
    </w:p>
    <w:p w:rsidR="00D57681" w:rsidRDefault="00D57681" w:rsidP="00DE0632">
      <w:pPr>
        <w:spacing w:line="480" w:lineRule="auto"/>
        <w:contextualSpacing/>
        <w:jc w:val="center"/>
        <w:rPr>
          <w:sz w:val="32"/>
          <w:szCs w:val="32"/>
        </w:rPr>
      </w:pPr>
    </w:p>
    <w:p w:rsidR="006A73E0" w:rsidRPr="009C2C94" w:rsidRDefault="006A73E0" w:rsidP="00DE0632">
      <w:pPr>
        <w:spacing w:line="480" w:lineRule="auto"/>
        <w:contextualSpacing/>
        <w:jc w:val="center"/>
        <w:rPr>
          <w:sz w:val="32"/>
          <w:szCs w:val="32"/>
        </w:rPr>
      </w:pPr>
    </w:p>
    <w:p w:rsidR="00E72CD2" w:rsidRPr="006A73E0" w:rsidRDefault="00DE0632" w:rsidP="00DE0632">
      <w:pPr>
        <w:spacing w:line="480" w:lineRule="auto"/>
        <w:contextualSpacing/>
        <w:jc w:val="center"/>
        <w:rPr>
          <w:b/>
          <w:sz w:val="40"/>
          <w:szCs w:val="32"/>
        </w:rPr>
      </w:pPr>
      <w:r w:rsidRPr="006A73E0">
        <w:rPr>
          <w:b/>
          <w:sz w:val="40"/>
          <w:szCs w:val="32"/>
        </w:rPr>
        <w:t xml:space="preserve">Habitat for Humanity </w:t>
      </w:r>
    </w:p>
    <w:p w:rsidR="00DE0632" w:rsidRPr="00E72CD2" w:rsidRDefault="00DE0632" w:rsidP="00DE0632">
      <w:pPr>
        <w:spacing w:line="480" w:lineRule="auto"/>
        <w:contextualSpacing/>
        <w:jc w:val="center"/>
        <w:rPr>
          <w:sz w:val="40"/>
          <w:szCs w:val="32"/>
        </w:rPr>
      </w:pPr>
      <w:r w:rsidRPr="006A73E0">
        <w:rPr>
          <w:b/>
          <w:sz w:val="40"/>
          <w:szCs w:val="32"/>
        </w:rPr>
        <w:t>White County Arkansas Affiliate</w:t>
      </w:r>
    </w:p>
    <w:p w:rsidR="00DE0632" w:rsidRDefault="00DE0632" w:rsidP="00DE0632">
      <w:pPr>
        <w:spacing w:line="480" w:lineRule="auto"/>
        <w:contextualSpacing/>
        <w:jc w:val="center"/>
        <w:rPr>
          <w:sz w:val="28"/>
          <w:szCs w:val="28"/>
        </w:rPr>
      </w:pPr>
    </w:p>
    <w:p w:rsidR="006A73E0" w:rsidRPr="006A73E0" w:rsidRDefault="006A73E0" w:rsidP="00DE0632">
      <w:pPr>
        <w:spacing w:line="480" w:lineRule="auto"/>
        <w:contextualSpacing/>
        <w:jc w:val="center"/>
        <w:rPr>
          <w:sz w:val="28"/>
          <w:szCs w:val="28"/>
        </w:rPr>
      </w:pPr>
    </w:p>
    <w:p w:rsidR="00D57681" w:rsidRDefault="00D57681" w:rsidP="00DE0632">
      <w:pPr>
        <w:spacing w:line="480" w:lineRule="auto"/>
        <w:contextualSpacing/>
        <w:jc w:val="center"/>
        <w:rPr>
          <w:sz w:val="28"/>
          <w:szCs w:val="28"/>
        </w:rPr>
      </w:pPr>
    </w:p>
    <w:p w:rsidR="006A73E0" w:rsidRPr="006A73E0" w:rsidRDefault="006A73E0" w:rsidP="00DE0632">
      <w:pPr>
        <w:spacing w:line="480" w:lineRule="auto"/>
        <w:contextualSpacing/>
        <w:jc w:val="center"/>
        <w:rPr>
          <w:sz w:val="28"/>
          <w:szCs w:val="28"/>
        </w:rPr>
      </w:pPr>
    </w:p>
    <w:p w:rsidR="00DE0632" w:rsidRPr="006A73E0" w:rsidRDefault="00DE0632" w:rsidP="00DE0632">
      <w:pPr>
        <w:spacing w:line="480" w:lineRule="auto"/>
        <w:contextualSpacing/>
        <w:jc w:val="center"/>
        <w:rPr>
          <w:sz w:val="28"/>
          <w:szCs w:val="28"/>
        </w:rPr>
      </w:pPr>
      <w:proofErr w:type="gramStart"/>
      <w:r w:rsidRPr="006A73E0">
        <w:rPr>
          <w:sz w:val="28"/>
          <w:szCs w:val="28"/>
        </w:rPr>
        <w:t>by</w:t>
      </w:r>
      <w:proofErr w:type="gramEnd"/>
    </w:p>
    <w:p w:rsidR="00DE0632" w:rsidRPr="009C2C94" w:rsidRDefault="00DE0632" w:rsidP="00DE0632">
      <w:pPr>
        <w:spacing w:line="480" w:lineRule="auto"/>
        <w:contextualSpacing/>
        <w:jc w:val="center"/>
        <w:rPr>
          <w:sz w:val="36"/>
          <w:szCs w:val="32"/>
        </w:rPr>
      </w:pPr>
      <w:r w:rsidRPr="009C2C94">
        <w:rPr>
          <w:sz w:val="36"/>
          <w:szCs w:val="32"/>
        </w:rPr>
        <w:t>Anna Shafer</w:t>
      </w:r>
    </w:p>
    <w:p w:rsidR="00DE0632" w:rsidRDefault="00DE0632" w:rsidP="00DE0632">
      <w:pPr>
        <w:spacing w:line="480" w:lineRule="auto"/>
        <w:contextualSpacing/>
        <w:jc w:val="center"/>
        <w:rPr>
          <w:sz w:val="36"/>
          <w:szCs w:val="32"/>
        </w:rPr>
      </w:pPr>
      <w:r w:rsidRPr="009C2C94">
        <w:rPr>
          <w:sz w:val="36"/>
          <w:szCs w:val="32"/>
        </w:rPr>
        <w:t>Nov. 25, 2011</w:t>
      </w:r>
    </w:p>
    <w:p w:rsidR="009C2C94" w:rsidRDefault="00C64342" w:rsidP="00DE0632">
      <w:pPr>
        <w:spacing w:line="480" w:lineRule="auto"/>
        <w:contextualSpacing/>
        <w:rPr>
          <w:b/>
        </w:rPr>
      </w:pPr>
      <w:r>
        <w:rPr>
          <w:b/>
        </w:rPr>
        <w:lastRenderedPageBreak/>
        <w:t>Abstract:</w:t>
      </w:r>
    </w:p>
    <w:p w:rsidR="00694373" w:rsidRPr="004F483C" w:rsidRDefault="00C64342" w:rsidP="00694373">
      <w:pPr>
        <w:spacing w:line="480" w:lineRule="auto"/>
        <w:contextualSpacing/>
      </w:pPr>
      <w:r>
        <w:t xml:space="preserve"> </w:t>
      </w:r>
      <w:r w:rsidR="008C718E">
        <w:t xml:space="preserve">     </w:t>
      </w:r>
      <w:r w:rsidR="00621867">
        <w:t>Windows are responsible for a signifi</w:t>
      </w:r>
      <w:r w:rsidR="00CF5DEA">
        <w:t xml:space="preserve">cant amount of the energy cost of a </w:t>
      </w:r>
      <w:r w:rsidR="00621867">
        <w:t>house. They allow unwanted h</w:t>
      </w:r>
      <w:r w:rsidR="00CF5DEA">
        <w:t>ot or cold air</w:t>
      </w:r>
      <w:r w:rsidR="00621867">
        <w:t xml:space="preserve"> to enter the house, which increases the cost of keeping the temperature of the house consistent. Because of this</w:t>
      </w:r>
      <w:r w:rsidR="00CF5DEA">
        <w:t>,</w:t>
      </w:r>
      <w:r w:rsidR="00621867">
        <w:t xml:space="preserve"> the available w</w:t>
      </w:r>
      <w:r w:rsidR="008C718E">
        <w:t>indow technologies</w:t>
      </w:r>
      <w:r>
        <w:t xml:space="preserve"> w</w:t>
      </w:r>
      <w:r w:rsidR="008C718E">
        <w:t>ere</w:t>
      </w:r>
      <w:r>
        <w:t xml:space="preserve"> investigated for the</w:t>
      </w:r>
      <w:r w:rsidR="0034230B" w:rsidRPr="0034230B">
        <w:t xml:space="preserve"> White County affiliate of Habitat for Humanity</w:t>
      </w:r>
      <w:r w:rsidR="00AE4764">
        <w:t xml:space="preserve"> (</w:t>
      </w:r>
      <w:proofErr w:type="spellStart"/>
      <w:r w:rsidR="00AE4764">
        <w:t>HfH</w:t>
      </w:r>
      <w:proofErr w:type="spellEnd"/>
      <w:r w:rsidR="00AE4764">
        <w:t>)</w:t>
      </w:r>
      <w:r w:rsidR="0034230B" w:rsidRPr="0034230B">
        <w:t xml:space="preserve"> to determine the most cost efficient window design for builds in White County</w:t>
      </w:r>
      <w:r>
        <w:t>.</w:t>
      </w:r>
      <w:r w:rsidR="008C718E">
        <w:t xml:space="preserve"> </w:t>
      </w:r>
      <w:r w:rsidR="00621867">
        <w:t xml:space="preserve">The cost of electricity for annual heating and cooling was used to determine the benefits of different technologies specific to Searcy’s conditions. </w:t>
      </w:r>
      <w:r w:rsidR="008C718E">
        <w:t xml:space="preserve">Due to the location in the South-Central Region, the key factors in </w:t>
      </w:r>
      <w:r w:rsidR="00B42D31">
        <w:t>window selection are a U-Value that is less than or equal to</w:t>
      </w:r>
      <w:r w:rsidR="00276EB4">
        <w:t xml:space="preserve"> 0.30 </w:t>
      </w:r>
      <w:r w:rsidR="008C718E">
        <w:t xml:space="preserve">and a Solar Heat Gain Coefficient (SHGC) </w:t>
      </w:r>
      <w:r w:rsidR="00B42D31">
        <w:t>of approximately</w:t>
      </w:r>
      <w:r w:rsidR="008C718E">
        <w:t xml:space="preserve"> 0.30. A coating such as a Low-E coating is often essential in achieving these </w:t>
      </w:r>
      <w:r w:rsidR="008C718E" w:rsidRPr="004F483C">
        <w:t xml:space="preserve">ratings. </w:t>
      </w:r>
      <w:proofErr w:type="spellStart"/>
      <w:r w:rsidR="008C718E" w:rsidRPr="004F483C">
        <w:t>Therma</w:t>
      </w:r>
      <w:r w:rsidR="00F14CBE" w:rsidRPr="004F483C">
        <w:t>S</w:t>
      </w:r>
      <w:r w:rsidR="008C718E" w:rsidRPr="004F483C">
        <w:t>tar</w:t>
      </w:r>
      <w:proofErr w:type="spellEnd"/>
      <w:r w:rsidR="008C718E" w:rsidRPr="004F483C">
        <w:t xml:space="preserve"> windows by Pella have been used in the past for White County builds. </w:t>
      </w:r>
      <w:r w:rsidR="00CF5DEA">
        <w:t>It was suggested by Doug Rye that all windows be purchased from contractors rather than department stores to ensure quality that will last throughout the lifetime of the house</w:t>
      </w:r>
      <w:r w:rsidR="00AE4764" w:rsidRPr="004F483C">
        <w:t>. A contractor, Harry G. Barr of Weather</w:t>
      </w:r>
      <w:r w:rsidR="000D6606" w:rsidRPr="004F483C">
        <w:t>-</w:t>
      </w:r>
      <w:proofErr w:type="spellStart"/>
      <w:r w:rsidR="000D6606" w:rsidRPr="004F483C">
        <w:t>barr</w:t>
      </w:r>
      <w:proofErr w:type="spellEnd"/>
      <w:r w:rsidR="000D6606" w:rsidRPr="004F483C">
        <w:t xml:space="preserve"> in Ft. Smith, was located.</w:t>
      </w:r>
    </w:p>
    <w:p w:rsidR="000D6606" w:rsidRDefault="000D6606" w:rsidP="00694373">
      <w:pPr>
        <w:spacing w:line="480" w:lineRule="auto"/>
        <w:contextualSpacing/>
      </w:pPr>
    </w:p>
    <w:p w:rsidR="00AE4764" w:rsidRDefault="00AE4764" w:rsidP="00694373">
      <w:pPr>
        <w:spacing w:line="480" w:lineRule="auto"/>
        <w:contextualSpacing/>
        <w:rPr>
          <w:b/>
        </w:rPr>
      </w:pPr>
      <w:r>
        <w:rPr>
          <w:b/>
        </w:rPr>
        <w:t>Introduction:</w:t>
      </w:r>
    </w:p>
    <w:p w:rsidR="00AE4764" w:rsidRDefault="00AE4764" w:rsidP="00694373">
      <w:pPr>
        <w:spacing w:line="480" w:lineRule="auto"/>
        <w:contextualSpacing/>
      </w:pPr>
      <w:r>
        <w:t xml:space="preserve">     The purpose of this report is to </w:t>
      </w:r>
      <w:r w:rsidR="00145A04">
        <w:t>determine the</w:t>
      </w:r>
      <w:r>
        <w:t xml:space="preserve"> pertinent </w:t>
      </w:r>
      <w:r w:rsidR="00145A04">
        <w:t>features</w:t>
      </w:r>
      <w:r w:rsidRPr="00AE4764">
        <w:t xml:space="preserve"> </w:t>
      </w:r>
      <w:r w:rsidR="00145A04">
        <w:t>for</w:t>
      </w:r>
      <w:r w:rsidRPr="00AE4764">
        <w:t xml:space="preserve"> window </w:t>
      </w:r>
      <w:r>
        <w:t>selection</w:t>
      </w:r>
      <w:r w:rsidR="00145A04">
        <w:t xml:space="preserve"> and the important considerations for the design and placement of windows</w:t>
      </w:r>
      <w:r>
        <w:t xml:space="preserve"> </w:t>
      </w:r>
      <w:r w:rsidR="00145A04">
        <w:t>in</w:t>
      </w:r>
      <w:r>
        <w:t xml:space="preserve"> future </w:t>
      </w:r>
      <w:proofErr w:type="spellStart"/>
      <w:r>
        <w:t>HfH</w:t>
      </w:r>
      <w:proofErr w:type="spellEnd"/>
      <w:r>
        <w:t xml:space="preserve"> builds.</w:t>
      </w:r>
      <w:r w:rsidR="00914D8A">
        <w:t xml:space="preserve"> </w:t>
      </w:r>
      <w:r w:rsidR="005B258C">
        <w:t>W</w:t>
      </w:r>
      <w:r w:rsidR="00914D8A">
        <w:t xml:space="preserve">indow technologies with the most impact on cost and efficiency are glazing, frame type, opening mechanism, coating, and </w:t>
      </w:r>
      <w:r w:rsidR="005B258C">
        <w:t xml:space="preserve">the type of </w:t>
      </w:r>
      <w:r w:rsidR="00914D8A">
        <w:t xml:space="preserve">gas filling. Other considerations include the </w:t>
      </w:r>
      <w:r w:rsidR="005B258C">
        <w:t>build site</w:t>
      </w:r>
      <w:r w:rsidR="00914D8A">
        <w:t xml:space="preserve">’s climate, orientation of the windows in regards to the house and absolute direction, the size of the window, the shading conditions, and the quality of </w:t>
      </w:r>
      <w:r w:rsidR="005B258C">
        <w:t xml:space="preserve">their </w:t>
      </w:r>
      <w:r w:rsidR="00914D8A">
        <w:t>installation.</w:t>
      </w:r>
    </w:p>
    <w:p w:rsidR="00914D8A" w:rsidRDefault="00914D8A" w:rsidP="00694373">
      <w:pPr>
        <w:spacing w:line="480" w:lineRule="auto"/>
        <w:contextualSpacing/>
      </w:pPr>
    </w:p>
    <w:p w:rsidR="00694373" w:rsidRPr="00694373" w:rsidRDefault="00AE4764" w:rsidP="00694373">
      <w:pPr>
        <w:spacing w:line="480" w:lineRule="auto"/>
        <w:contextualSpacing/>
      </w:pPr>
      <w:r>
        <w:rPr>
          <w:b/>
        </w:rPr>
        <w:lastRenderedPageBreak/>
        <w:t>Objectives/Specifications:</w:t>
      </w:r>
    </w:p>
    <w:p w:rsidR="002A0A89" w:rsidRDefault="002A0A89" w:rsidP="00694373">
      <w:pPr>
        <w:spacing w:line="480" w:lineRule="auto"/>
        <w:contextualSpacing/>
      </w:pPr>
      <w:r>
        <w:t xml:space="preserve">    The objective of this project was to d</w:t>
      </w:r>
      <w:r w:rsidRPr="002A0A89">
        <w:t xml:space="preserve">etermine the most cost effective and energy efficient window choice for </w:t>
      </w:r>
      <w:r>
        <w:t xml:space="preserve">future </w:t>
      </w:r>
      <w:proofErr w:type="spellStart"/>
      <w:r>
        <w:t>HfH</w:t>
      </w:r>
      <w:proofErr w:type="spellEnd"/>
      <w:r>
        <w:t xml:space="preserve"> builds. </w:t>
      </w:r>
    </w:p>
    <w:p w:rsidR="002A0A89" w:rsidRDefault="002A0A89" w:rsidP="00694373">
      <w:pPr>
        <w:spacing w:line="480" w:lineRule="auto"/>
        <w:contextualSpacing/>
      </w:pPr>
    </w:p>
    <w:p w:rsidR="00694373" w:rsidRPr="002A0A89" w:rsidRDefault="002A0A89" w:rsidP="00694373">
      <w:pPr>
        <w:spacing w:line="480" w:lineRule="auto"/>
        <w:contextualSpacing/>
      </w:pPr>
      <w:r>
        <w:rPr>
          <w:b/>
        </w:rPr>
        <w:t>Conceptual Designs/Alternatives:</w:t>
      </w:r>
    </w:p>
    <w:p w:rsidR="0031759A" w:rsidRDefault="003B08BB" w:rsidP="002A0A89">
      <w:pPr>
        <w:spacing w:line="480" w:lineRule="auto"/>
        <w:contextualSpacing/>
      </w:pPr>
      <w:r>
        <w:t xml:space="preserve">     Due to changing product availability, a general guideline was determined instead of a specific product choice.</w:t>
      </w:r>
      <w:r w:rsidR="00E8626B">
        <w:t xml:space="preserve"> U</w:t>
      </w:r>
      <w:r w:rsidR="00AE73B7">
        <w:t>sing the cost of electrical air conditioning and heating for Searcy in 2010</w:t>
      </w:r>
      <w:r w:rsidR="00671F56">
        <w:t xml:space="preserve"> (0.07</w:t>
      </w:r>
      <w:r w:rsidR="00671F56" w:rsidRPr="00671F56">
        <w:t>57</w:t>
      </w:r>
      <w:r w:rsidR="00671F56">
        <w:t xml:space="preserve"> </w:t>
      </w:r>
      <w:r w:rsidR="00671F56">
        <w:rPr>
          <w:rFonts w:ascii="SimSun" w:eastAsia="SimSun" w:hAnsi="SimSun" w:cs="SimSun"/>
        </w:rPr>
        <w:t>$</w:t>
      </w:r>
      <w:r w:rsidR="00671F56">
        <w:t>/kWh)</w:t>
      </w:r>
      <w:r w:rsidR="00AE73B7">
        <w:t xml:space="preserve">, the </w:t>
      </w:r>
      <w:r w:rsidR="00322A60">
        <w:t xml:space="preserve">total </w:t>
      </w:r>
      <w:r w:rsidR="00AE73B7">
        <w:t xml:space="preserve">cost of </w:t>
      </w:r>
      <w:r>
        <w:t xml:space="preserve">several different windows </w:t>
      </w:r>
      <w:r w:rsidR="00AE73B7">
        <w:t xml:space="preserve">over </w:t>
      </w:r>
      <w:r>
        <w:t>a</w:t>
      </w:r>
      <w:r w:rsidR="00AE73B7">
        <w:t xml:space="preserve"> twenty </w:t>
      </w:r>
      <w:r>
        <w:t>year time period</w:t>
      </w:r>
      <w:r w:rsidR="00AE73B7">
        <w:t xml:space="preserve"> was calculated. Seven 3’x5’ windows were assumed</w:t>
      </w:r>
      <w:r w:rsidR="005B258C">
        <w:t xml:space="preserve"> to keep the size consistent </w:t>
      </w:r>
      <w:r w:rsidR="004F011B">
        <w:t>(actual bedroom egress requirement is at least 5.7 sq. ft. with a minimum 20 in. width and 24 in. height)</w:t>
      </w:r>
      <w:r w:rsidR="005B258C">
        <w:t xml:space="preserve">, and a </w:t>
      </w:r>
      <w:r w:rsidR="00AE73B7">
        <w:t>1050 square foot house</w:t>
      </w:r>
      <w:r w:rsidR="005B258C">
        <w:t xml:space="preserve"> is assumed to be consistent with </w:t>
      </w:r>
      <w:proofErr w:type="spellStart"/>
      <w:r w:rsidR="005B258C">
        <w:t>HfH</w:t>
      </w:r>
      <w:proofErr w:type="spellEnd"/>
      <w:r w:rsidR="005B258C">
        <w:t xml:space="preserve"> guidelines</w:t>
      </w:r>
      <w:r w:rsidR="00AE73B7">
        <w:t>.</w:t>
      </w:r>
      <w:r w:rsidR="008F19D9">
        <w:t xml:space="preserve"> </w:t>
      </w:r>
      <w:r w:rsidR="0031759A">
        <w:t xml:space="preserve">The data from the University of Minnesota’s Efficient Windows Collaborative website was used and adapted for </w:t>
      </w:r>
      <w:proofErr w:type="spellStart"/>
      <w:r w:rsidR="0031759A">
        <w:t>HfH</w:t>
      </w:r>
      <w:proofErr w:type="spellEnd"/>
      <w:r w:rsidR="0031759A">
        <w:t xml:space="preserve"> specifications. </w:t>
      </w:r>
    </w:p>
    <w:p w:rsidR="00E8626B" w:rsidRDefault="00E8626B" w:rsidP="002A0A89">
      <w:pPr>
        <w:spacing w:line="480" w:lineRule="auto"/>
        <w:contextualSpacing/>
      </w:pPr>
      <w:r>
        <w:t xml:space="preserve">     </w:t>
      </w:r>
      <w:r w:rsidR="000D6606">
        <w:t xml:space="preserve">The overall energy cost of the window was considered and different U-Value and SHGC combinations were </w:t>
      </w:r>
      <w:r w:rsidR="00276EB4">
        <w:t>included</w:t>
      </w:r>
      <w:r w:rsidR="000D6606">
        <w:t xml:space="preserve"> to determine the most efficient region specific choice. </w:t>
      </w:r>
      <w:r>
        <w:t xml:space="preserve">Two different Solar Heat Gain Coefficients were considered using the data for Searcy, AR. </w:t>
      </w:r>
    </w:p>
    <w:p w:rsidR="005112D8" w:rsidRPr="007473C8" w:rsidRDefault="00E8626B" w:rsidP="00694373">
      <w:pPr>
        <w:spacing w:line="480" w:lineRule="auto"/>
        <w:contextualSpacing/>
      </w:pPr>
      <w:r>
        <w:t xml:space="preserve">     The orientation of the windows was also considered. Calculations and comparisons were done considering different concentrations of the percentage of wall space</w:t>
      </w:r>
      <w:r w:rsidR="005112D8">
        <w:t xml:space="preserve"> used for windows</w:t>
      </w:r>
      <w:r>
        <w:t xml:space="preserve"> on a </w:t>
      </w:r>
      <w:r w:rsidR="0031759A">
        <w:t>particular side of the</w:t>
      </w:r>
      <w:r>
        <w:t xml:space="preserve"> house. Fading capability for each side was also considered.</w:t>
      </w:r>
    </w:p>
    <w:p w:rsidR="005112D8" w:rsidRDefault="005112D8" w:rsidP="00694373">
      <w:pPr>
        <w:spacing w:line="480" w:lineRule="auto"/>
        <w:contextualSpacing/>
      </w:pPr>
    </w:p>
    <w:p w:rsidR="00694373" w:rsidRPr="00694373" w:rsidRDefault="002A0A89" w:rsidP="00694373">
      <w:pPr>
        <w:spacing w:line="480" w:lineRule="auto"/>
        <w:contextualSpacing/>
      </w:pPr>
      <w:r>
        <w:rPr>
          <w:b/>
        </w:rPr>
        <w:t>Findings:</w:t>
      </w:r>
    </w:p>
    <w:p w:rsidR="000D6606" w:rsidRDefault="000D6606" w:rsidP="00AE73B7">
      <w:pPr>
        <w:spacing w:line="480" w:lineRule="auto"/>
        <w:contextualSpacing/>
      </w:pPr>
      <w:r>
        <w:t xml:space="preserve">     </w:t>
      </w:r>
      <w:r w:rsidR="00276EB4">
        <w:t>Window</w:t>
      </w:r>
      <w:r w:rsidR="005112D8">
        <w:t xml:space="preserve"> related</w:t>
      </w:r>
      <w:r w:rsidR="00276EB4">
        <w:t xml:space="preserve"> energy </w:t>
      </w:r>
      <w:r w:rsidR="005112D8">
        <w:t>cost</w:t>
      </w:r>
      <w:r w:rsidR="00276EB4">
        <w:t>s decrease as rated U-Value decreases.</w:t>
      </w:r>
      <w:r>
        <w:t xml:space="preserve"> </w:t>
      </w:r>
      <w:r w:rsidR="00276EB4">
        <w:t xml:space="preserve">Energy </w:t>
      </w:r>
      <w:r w:rsidR="005112D8">
        <w:t>cost</w:t>
      </w:r>
      <w:r w:rsidR="00276EB4">
        <w:t>s decrease as SHGC values increase.</w:t>
      </w:r>
      <w:r>
        <w:t xml:space="preserve"> However, the combined impact of the U-Value and SHGC was much </w:t>
      </w:r>
      <w:r>
        <w:lastRenderedPageBreak/>
        <w:t>greater than a change in value</w:t>
      </w:r>
      <w:r w:rsidR="0031759A">
        <w:t xml:space="preserve"> of a single energy rating</w:t>
      </w:r>
      <w:r>
        <w:t>. Figure 1, below, shows the increase in the cost per U-Value and illustrates the effect of two different SHGCs on the price.</w:t>
      </w:r>
    </w:p>
    <w:p w:rsidR="000D6606" w:rsidRDefault="000D6606" w:rsidP="000D6606">
      <w:pPr>
        <w:spacing w:line="480" w:lineRule="auto"/>
        <w:contextualSpacing/>
        <w:jc w:val="center"/>
      </w:pPr>
      <w:r w:rsidRPr="00E8626B">
        <w:rPr>
          <w:noProof/>
        </w:rPr>
        <w:drawing>
          <wp:inline distT="0" distB="0" distL="0" distR="0">
            <wp:extent cx="5400136" cy="3243532"/>
            <wp:effectExtent l="0" t="0" r="0" b="0"/>
            <wp:docPr id="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Start w:id="0" w:name="_GoBack"/>
      <w:bookmarkEnd w:id="0"/>
    </w:p>
    <w:p w:rsidR="000D6606" w:rsidRDefault="000D6606" w:rsidP="000D6606">
      <w:pPr>
        <w:spacing w:line="480" w:lineRule="auto"/>
        <w:contextualSpacing/>
        <w:jc w:val="center"/>
        <w:rPr>
          <w:i/>
        </w:rPr>
      </w:pPr>
      <w:r>
        <w:rPr>
          <w:i/>
        </w:rPr>
        <w:t>Figure 1</w:t>
      </w:r>
    </w:p>
    <w:p w:rsidR="00085C0E" w:rsidRDefault="00085C0E" w:rsidP="000D6606">
      <w:pPr>
        <w:spacing w:line="480" w:lineRule="auto"/>
        <w:contextualSpacing/>
        <w:jc w:val="center"/>
        <w:rPr>
          <w:i/>
        </w:rPr>
      </w:pPr>
      <w:r>
        <w:rPr>
          <w:noProof/>
        </w:rPr>
        <w:drawing>
          <wp:inline distT="0" distB="0" distL="0" distR="0">
            <wp:extent cx="5417389" cy="3364302"/>
            <wp:effectExtent l="0" t="0" r="0" b="762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85C0E" w:rsidRPr="000D6606" w:rsidRDefault="00085C0E" w:rsidP="000D6606">
      <w:pPr>
        <w:spacing w:line="480" w:lineRule="auto"/>
        <w:contextualSpacing/>
        <w:jc w:val="center"/>
        <w:rPr>
          <w:i/>
        </w:rPr>
      </w:pPr>
      <w:r>
        <w:rPr>
          <w:i/>
        </w:rPr>
        <w:t>Figure 2</w:t>
      </w:r>
    </w:p>
    <w:p w:rsidR="00CF5DEA" w:rsidRDefault="000D6606" w:rsidP="002452C1">
      <w:pPr>
        <w:spacing w:line="480" w:lineRule="auto"/>
        <w:contextualSpacing/>
      </w:pPr>
      <w:r>
        <w:lastRenderedPageBreak/>
        <w:t xml:space="preserve">     </w:t>
      </w:r>
      <w:r w:rsidR="00085C0E">
        <w:t>As illustrated in Figure 2, above, i</w:t>
      </w:r>
      <w:r w:rsidR="002452C1">
        <w:t xml:space="preserve">mplementing a </w:t>
      </w:r>
      <w:r w:rsidR="002452C1" w:rsidRPr="00D57681">
        <w:t>vinyl frame vs. an aluminum frame</w:t>
      </w:r>
      <w:r w:rsidR="002452C1">
        <w:t xml:space="preserve"> will </w:t>
      </w:r>
      <w:r w:rsidR="005112D8">
        <w:t xml:space="preserve">decrease window energy costs </w:t>
      </w:r>
      <w:r w:rsidR="004F483C">
        <w:t>up to</w:t>
      </w:r>
      <w:r w:rsidR="002452C1">
        <w:t xml:space="preserve"> </w:t>
      </w:r>
      <w:r w:rsidR="00085C0E">
        <w:t>$2,000</w:t>
      </w:r>
      <w:r w:rsidR="002452C1">
        <w:t xml:space="preserve"> </w:t>
      </w:r>
      <w:r w:rsidR="00085C0E">
        <w:t xml:space="preserve">per window </w:t>
      </w:r>
      <w:r w:rsidR="002452C1">
        <w:t>over the life-span of the house.</w:t>
      </w:r>
      <w:r w:rsidR="0036028A">
        <w:t xml:space="preserve"> The number of glazes affects the energy costs as well.</w:t>
      </w:r>
      <w:r w:rsidR="00752498">
        <w:t xml:space="preserve"> In order to achieve their energy ratings coatings or glazes are applied to the glass of the windows. </w:t>
      </w:r>
      <w:r w:rsidR="00752498" w:rsidRPr="00CF5DEA">
        <w:t>A double glazed window will</w:t>
      </w:r>
      <w:r w:rsidR="0036028A" w:rsidRPr="00CF5DEA">
        <w:t xml:space="preserve"> decrease the life time </w:t>
      </w:r>
      <w:r w:rsidR="00752498" w:rsidRPr="00CF5DEA">
        <w:t>window</w:t>
      </w:r>
      <w:r w:rsidR="00752498" w:rsidRPr="00752498">
        <w:t xml:space="preserve"> energy </w:t>
      </w:r>
      <w:r w:rsidR="0036028A" w:rsidRPr="00752498">
        <w:t>cost</w:t>
      </w:r>
      <w:r w:rsidR="00752498" w:rsidRPr="00752498">
        <w:t>s</w:t>
      </w:r>
      <w:r w:rsidR="0036028A" w:rsidRPr="00752498">
        <w:t xml:space="preserve"> by approximately </w:t>
      </w:r>
      <w:r w:rsidR="00752498">
        <w:t xml:space="preserve">$200 per window per year. A triple glazed window can decrease energy costs by an additional $40 </w:t>
      </w:r>
      <w:r w:rsidR="00752498" w:rsidRPr="00D57681">
        <w:t>annually;</w:t>
      </w:r>
      <w:r w:rsidR="00E8626B" w:rsidRPr="00D57681">
        <w:t xml:space="preserve"> </w:t>
      </w:r>
      <w:r w:rsidR="00752498" w:rsidRPr="00D57681">
        <w:t>h</w:t>
      </w:r>
      <w:r w:rsidRPr="00D57681">
        <w:t>owever, the third</w:t>
      </w:r>
      <w:r w:rsidRPr="00752498">
        <w:t xml:space="preserve"> layer</w:t>
      </w:r>
      <w:r w:rsidR="00953E2A" w:rsidRPr="00752498">
        <w:t xml:space="preserve"> significantly</w:t>
      </w:r>
      <w:r w:rsidRPr="00752498">
        <w:t xml:space="preserve"> decreases the visible light allowed</w:t>
      </w:r>
      <w:r w:rsidR="00953E2A" w:rsidRPr="00752498">
        <w:t xml:space="preserve"> to pass through the window which decrease</w:t>
      </w:r>
      <w:r w:rsidR="00752498">
        <w:t>s</w:t>
      </w:r>
      <w:r w:rsidR="00953E2A" w:rsidRPr="00752498">
        <w:t xml:space="preserve"> the available light in the house.</w:t>
      </w:r>
    </w:p>
    <w:p w:rsidR="00953E2A" w:rsidRDefault="00953E2A" w:rsidP="002452C1">
      <w:pPr>
        <w:spacing w:line="480" w:lineRule="auto"/>
        <w:contextualSpacing/>
      </w:pPr>
      <w:r>
        <w:t xml:space="preserve">     For the opening mechanism, the single hung was found to be the </w:t>
      </w:r>
      <w:r w:rsidR="00085C0E">
        <w:t xml:space="preserve">least expensive </w:t>
      </w:r>
      <w:r>
        <w:t>and</w:t>
      </w:r>
      <w:r w:rsidR="004F483C">
        <w:t>,</w:t>
      </w:r>
      <w:r>
        <w:t xml:space="preserve"> due to the fewer hinge points</w:t>
      </w:r>
      <w:r w:rsidR="0031759A">
        <w:t xml:space="preserve"> which allow air leakage</w:t>
      </w:r>
      <w:r>
        <w:t xml:space="preserve">, </w:t>
      </w:r>
      <w:r w:rsidR="0031759A">
        <w:t>more efficient than both</w:t>
      </w:r>
      <w:r w:rsidR="004F483C" w:rsidRPr="0031759A">
        <w:t xml:space="preserve"> double hung and sliding windows</w:t>
      </w:r>
      <w:r w:rsidRPr="0031759A">
        <w:t>.</w:t>
      </w:r>
      <w:r>
        <w:t xml:space="preserve"> The addition of grids for aesthetic appeal was found to increase the initial cost and </w:t>
      </w:r>
      <w:r w:rsidR="0031759A">
        <w:t xml:space="preserve">also </w:t>
      </w:r>
      <w:r>
        <w:t>decrease the efficiency.</w:t>
      </w:r>
    </w:p>
    <w:p w:rsidR="004F011B" w:rsidRDefault="00953E2A" w:rsidP="00694373">
      <w:pPr>
        <w:spacing w:line="480" w:lineRule="auto"/>
        <w:contextualSpacing/>
      </w:pPr>
      <w:r>
        <w:t xml:space="preserve">     When the orientation of the windows throughout the house was examined, it was found that windows on the East</w:t>
      </w:r>
      <w:r w:rsidR="00752498">
        <w:t xml:space="preserve"> and West sides of the house can cause an</w:t>
      </w:r>
      <w:r>
        <w:t xml:space="preserve"> increase</w:t>
      </w:r>
      <w:r w:rsidR="00752498">
        <w:t xml:space="preserve"> in</w:t>
      </w:r>
      <w:r w:rsidR="00085C0E">
        <w:t xml:space="preserve"> energy costs</w:t>
      </w:r>
      <w:r w:rsidR="00752498">
        <w:t xml:space="preserve"> from windows</w:t>
      </w:r>
      <w:r>
        <w:t xml:space="preserve">. This is </w:t>
      </w:r>
      <w:r w:rsidR="00A91982">
        <w:t>a result of</w:t>
      </w:r>
      <w:r>
        <w:t xml:space="preserve"> the higher solar heat that they are exposed to, especially during the summer months, which can increase the </w:t>
      </w:r>
      <w:r w:rsidR="00765320">
        <w:t>air conditioning costs and also encourage fading of the furniture</w:t>
      </w:r>
      <w:r>
        <w:t xml:space="preserve">. South facing windows are also responsible for a significant amount of </w:t>
      </w:r>
      <w:r w:rsidR="00A91982">
        <w:t xml:space="preserve">unwanted solar heat gain </w:t>
      </w:r>
      <w:r>
        <w:t xml:space="preserve">throughout the summer but </w:t>
      </w:r>
      <w:r w:rsidR="00A91982">
        <w:t>this can be avoided with the use of</w:t>
      </w:r>
      <w:r>
        <w:t xml:space="preserve"> shade </w:t>
      </w:r>
      <w:r w:rsidR="00A91982">
        <w:t>such as</w:t>
      </w:r>
      <w:r>
        <w:t xml:space="preserve"> an overhang. </w:t>
      </w:r>
      <w:r w:rsidR="0047497A" w:rsidRPr="0047497A">
        <w:t>A</w:t>
      </w:r>
      <w:r w:rsidRPr="0047497A">
        <w:t xml:space="preserve"> lower SHGC</w:t>
      </w:r>
      <w:r w:rsidR="0047497A" w:rsidRPr="0047497A">
        <w:t>, which is not ideal for Searcy, AR, will minimize any effect of orientation</w:t>
      </w:r>
      <w:r w:rsidRPr="0047497A">
        <w:t>. Also</w:t>
      </w:r>
      <w:r w:rsidR="00765320" w:rsidRPr="0047497A">
        <w:t>, the fading effect can be significant</w:t>
      </w:r>
      <w:r w:rsidR="00A91982" w:rsidRPr="0047497A">
        <w:t>ly decreased by a Low-E coating, so that the effects of orientation will be negligible.</w:t>
      </w:r>
      <w:r w:rsidR="00A91982">
        <w:t xml:space="preserve"> </w:t>
      </w:r>
      <w:r w:rsidR="00CF5DEA" w:rsidRPr="00CF5DEA">
        <w:t xml:space="preserve">Table 1, below, shows the </w:t>
      </w:r>
      <w:r w:rsidR="00CF5DEA">
        <w:t>approximate</w:t>
      </w:r>
      <w:r w:rsidR="00CF5DEA" w:rsidRPr="00CF5DEA">
        <w:t xml:space="preserve"> energy cost for each </w:t>
      </w:r>
      <w:r w:rsidR="00CF5DEA">
        <w:t>window orientation concentration</w:t>
      </w:r>
      <w:r w:rsidR="00CF5DEA" w:rsidRPr="00CF5DEA">
        <w:t>.</w:t>
      </w:r>
    </w:p>
    <w:p w:rsidR="004F011B" w:rsidRDefault="004F011B">
      <w:pPr>
        <w:spacing w:after="200" w:line="480" w:lineRule="auto"/>
        <w:jc w:val="center"/>
      </w:pPr>
      <w:r>
        <w:br w:type="page"/>
      </w:r>
    </w:p>
    <w:tbl>
      <w:tblPr>
        <w:tblStyle w:val="MediumGrid1-Accent1"/>
        <w:tblW w:w="6228" w:type="dxa"/>
        <w:jc w:val="center"/>
        <w:tblLook w:val="04A0" w:firstRow="1" w:lastRow="0" w:firstColumn="1" w:lastColumn="0" w:noHBand="0" w:noVBand="1"/>
      </w:tblPr>
      <w:tblGrid>
        <w:gridCol w:w="1188"/>
        <w:gridCol w:w="1080"/>
        <w:gridCol w:w="810"/>
        <w:gridCol w:w="752"/>
        <w:gridCol w:w="775"/>
        <w:gridCol w:w="810"/>
        <w:gridCol w:w="813"/>
      </w:tblGrid>
      <w:tr w:rsidR="00CF5DEA" w:rsidTr="00CF5D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noWrap/>
            <w:hideMark/>
          </w:tcPr>
          <w:p w:rsidR="00CF5DEA" w:rsidRDefault="00CF5DEA" w:rsidP="00CF5DE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U-Value</w:t>
            </w:r>
          </w:p>
        </w:tc>
        <w:tc>
          <w:tcPr>
            <w:tcW w:w="1080" w:type="dxa"/>
            <w:noWrap/>
            <w:hideMark/>
          </w:tcPr>
          <w:p w:rsidR="00CF5DEA" w:rsidRDefault="00CF5DEA" w:rsidP="00CF5D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SHGC</w:t>
            </w:r>
          </w:p>
        </w:tc>
        <w:tc>
          <w:tcPr>
            <w:tcW w:w="810" w:type="dxa"/>
            <w:noWrap/>
            <w:hideMark/>
          </w:tcPr>
          <w:p w:rsidR="00CF5DEA" w:rsidRDefault="00CF5DEA" w:rsidP="00CF5D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Equal</w:t>
            </w:r>
          </w:p>
        </w:tc>
        <w:tc>
          <w:tcPr>
            <w:tcW w:w="752" w:type="dxa"/>
            <w:noWrap/>
            <w:hideMark/>
          </w:tcPr>
          <w:p w:rsidR="00CF5DEA" w:rsidRDefault="00CF5DEA" w:rsidP="00CF5D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North</w:t>
            </w:r>
          </w:p>
        </w:tc>
        <w:tc>
          <w:tcPr>
            <w:tcW w:w="775" w:type="dxa"/>
            <w:noWrap/>
            <w:hideMark/>
          </w:tcPr>
          <w:p w:rsidR="00CF5DEA" w:rsidRDefault="00CF5DEA" w:rsidP="00CF5D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East</w:t>
            </w:r>
          </w:p>
        </w:tc>
        <w:tc>
          <w:tcPr>
            <w:tcW w:w="810" w:type="dxa"/>
            <w:noWrap/>
            <w:hideMark/>
          </w:tcPr>
          <w:p w:rsidR="00CF5DEA" w:rsidRDefault="00CF5DEA" w:rsidP="00CF5D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South</w:t>
            </w:r>
          </w:p>
        </w:tc>
        <w:tc>
          <w:tcPr>
            <w:tcW w:w="813" w:type="dxa"/>
            <w:noWrap/>
            <w:hideMark/>
          </w:tcPr>
          <w:p w:rsidR="00CF5DEA" w:rsidRDefault="00CF5DEA" w:rsidP="00CF5D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West</w:t>
            </w:r>
          </w:p>
        </w:tc>
      </w:tr>
      <w:tr w:rsidR="00CF5DEA" w:rsidTr="00CF5D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noWrap/>
            <w:hideMark/>
          </w:tcPr>
          <w:p w:rsidR="00CF5DEA" w:rsidRDefault="00CF5DEA" w:rsidP="00CF5DE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0.41-0.55</w:t>
            </w:r>
          </w:p>
        </w:tc>
        <w:tc>
          <w:tcPr>
            <w:tcW w:w="1080" w:type="dxa"/>
            <w:noWrap/>
            <w:hideMark/>
          </w:tcPr>
          <w:p w:rsidR="00CF5DEA" w:rsidRDefault="00CF5DEA" w:rsidP="00CF5D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0.41-0.60</w:t>
            </w:r>
          </w:p>
        </w:tc>
        <w:tc>
          <w:tcPr>
            <w:tcW w:w="810" w:type="dxa"/>
            <w:noWrap/>
            <w:hideMark/>
          </w:tcPr>
          <w:p w:rsidR="00CF5DEA" w:rsidRDefault="00CF5DEA" w:rsidP="00CF5D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555</w:t>
            </w:r>
          </w:p>
        </w:tc>
        <w:tc>
          <w:tcPr>
            <w:tcW w:w="752" w:type="dxa"/>
            <w:noWrap/>
            <w:hideMark/>
          </w:tcPr>
          <w:p w:rsidR="00CF5DEA" w:rsidRDefault="00CF5DEA" w:rsidP="00CF5D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567</w:t>
            </w:r>
          </w:p>
        </w:tc>
        <w:tc>
          <w:tcPr>
            <w:tcW w:w="775" w:type="dxa"/>
            <w:noWrap/>
            <w:hideMark/>
          </w:tcPr>
          <w:p w:rsidR="00CF5DEA" w:rsidRDefault="00CF5DEA" w:rsidP="00CF5D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555</w:t>
            </w:r>
          </w:p>
        </w:tc>
        <w:tc>
          <w:tcPr>
            <w:tcW w:w="810" w:type="dxa"/>
            <w:noWrap/>
            <w:hideMark/>
          </w:tcPr>
          <w:p w:rsidR="00CF5DEA" w:rsidRDefault="00CF5DEA" w:rsidP="00CF5D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516</w:t>
            </w:r>
          </w:p>
        </w:tc>
        <w:tc>
          <w:tcPr>
            <w:tcW w:w="813" w:type="dxa"/>
            <w:noWrap/>
            <w:hideMark/>
          </w:tcPr>
          <w:p w:rsidR="00CF5DEA" w:rsidRDefault="00CF5DEA" w:rsidP="00CF5D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575</w:t>
            </w:r>
          </w:p>
        </w:tc>
      </w:tr>
      <w:tr w:rsidR="00CF5DEA" w:rsidTr="00CF5DEA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noWrap/>
            <w:hideMark/>
          </w:tcPr>
          <w:p w:rsidR="00CF5DEA" w:rsidRDefault="00CF5DEA" w:rsidP="00CF5DE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0.31-0.40</w:t>
            </w:r>
          </w:p>
        </w:tc>
        <w:tc>
          <w:tcPr>
            <w:tcW w:w="1080" w:type="dxa"/>
            <w:noWrap/>
            <w:hideMark/>
          </w:tcPr>
          <w:p w:rsidR="00CF5DEA" w:rsidRDefault="00CF5DEA" w:rsidP="00CF5D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0.41-0.60</w:t>
            </w:r>
          </w:p>
        </w:tc>
        <w:tc>
          <w:tcPr>
            <w:tcW w:w="810" w:type="dxa"/>
            <w:noWrap/>
            <w:hideMark/>
          </w:tcPr>
          <w:p w:rsidR="00CF5DEA" w:rsidRDefault="00CF5DEA" w:rsidP="00CF5D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501</w:t>
            </w:r>
          </w:p>
        </w:tc>
        <w:tc>
          <w:tcPr>
            <w:tcW w:w="752" w:type="dxa"/>
            <w:noWrap/>
            <w:hideMark/>
          </w:tcPr>
          <w:p w:rsidR="00CF5DEA" w:rsidRDefault="00CF5DEA" w:rsidP="00CF5D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516</w:t>
            </w:r>
          </w:p>
        </w:tc>
        <w:tc>
          <w:tcPr>
            <w:tcW w:w="775" w:type="dxa"/>
            <w:noWrap/>
            <w:hideMark/>
          </w:tcPr>
          <w:p w:rsidR="00CF5DEA" w:rsidRDefault="00CF5DEA" w:rsidP="00CF5D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501</w:t>
            </w:r>
          </w:p>
        </w:tc>
        <w:tc>
          <w:tcPr>
            <w:tcW w:w="810" w:type="dxa"/>
            <w:noWrap/>
            <w:hideMark/>
          </w:tcPr>
          <w:p w:rsidR="00CF5DEA" w:rsidRDefault="00CF5DEA" w:rsidP="00CF5D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469</w:t>
            </w:r>
          </w:p>
        </w:tc>
        <w:tc>
          <w:tcPr>
            <w:tcW w:w="813" w:type="dxa"/>
            <w:noWrap/>
            <w:hideMark/>
          </w:tcPr>
          <w:p w:rsidR="00CF5DEA" w:rsidRDefault="00CF5DEA" w:rsidP="00CF5D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524</w:t>
            </w:r>
          </w:p>
        </w:tc>
      </w:tr>
      <w:tr w:rsidR="00CF5DEA" w:rsidTr="00CF5D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noWrap/>
            <w:hideMark/>
          </w:tcPr>
          <w:p w:rsidR="00CF5DEA" w:rsidRDefault="00CF5DEA" w:rsidP="00CF5DE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0.31-0.40</w:t>
            </w:r>
          </w:p>
        </w:tc>
        <w:tc>
          <w:tcPr>
            <w:tcW w:w="1080" w:type="dxa"/>
            <w:noWrap/>
            <w:hideMark/>
          </w:tcPr>
          <w:p w:rsidR="00CF5DEA" w:rsidRDefault="00CF5DEA" w:rsidP="00CF5D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≤0.25</w:t>
            </w:r>
          </w:p>
        </w:tc>
        <w:tc>
          <w:tcPr>
            <w:tcW w:w="810" w:type="dxa"/>
            <w:noWrap/>
            <w:hideMark/>
          </w:tcPr>
          <w:p w:rsidR="00CF5DEA" w:rsidRDefault="00CF5DEA" w:rsidP="00CF5D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508</w:t>
            </w:r>
          </w:p>
        </w:tc>
        <w:tc>
          <w:tcPr>
            <w:tcW w:w="752" w:type="dxa"/>
            <w:noWrap/>
            <w:hideMark/>
          </w:tcPr>
          <w:p w:rsidR="00CF5DEA" w:rsidRDefault="00CF5DEA" w:rsidP="00CF5D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516</w:t>
            </w:r>
          </w:p>
        </w:tc>
        <w:tc>
          <w:tcPr>
            <w:tcW w:w="775" w:type="dxa"/>
            <w:noWrap/>
            <w:hideMark/>
          </w:tcPr>
          <w:p w:rsidR="00CF5DEA" w:rsidRDefault="00CF5DEA" w:rsidP="00CF5D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508</w:t>
            </w:r>
          </w:p>
        </w:tc>
        <w:tc>
          <w:tcPr>
            <w:tcW w:w="810" w:type="dxa"/>
            <w:noWrap/>
            <w:hideMark/>
          </w:tcPr>
          <w:p w:rsidR="00CF5DEA" w:rsidRDefault="00CF5DEA" w:rsidP="00CF5D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501</w:t>
            </w:r>
          </w:p>
        </w:tc>
        <w:tc>
          <w:tcPr>
            <w:tcW w:w="813" w:type="dxa"/>
            <w:noWrap/>
            <w:hideMark/>
          </w:tcPr>
          <w:p w:rsidR="00CF5DEA" w:rsidRDefault="00CF5DEA" w:rsidP="00CF5D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520</w:t>
            </w:r>
          </w:p>
        </w:tc>
      </w:tr>
      <w:tr w:rsidR="00CF5DEA" w:rsidTr="00CF5DEA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noWrap/>
            <w:hideMark/>
          </w:tcPr>
          <w:p w:rsidR="00CF5DEA" w:rsidRDefault="00CF5DEA" w:rsidP="00CF5DE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≤0.20 </w:t>
            </w:r>
          </w:p>
        </w:tc>
        <w:tc>
          <w:tcPr>
            <w:tcW w:w="1080" w:type="dxa"/>
            <w:noWrap/>
            <w:hideMark/>
          </w:tcPr>
          <w:p w:rsidR="00CF5DEA" w:rsidRDefault="00CF5DEA" w:rsidP="00CF5D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≤0.25</w:t>
            </w:r>
          </w:p>
        </w:tc>
        <w:tc>
          <w:tcPr>
            <w:tcW w:w="810" w:type="dxa"/>
            <w:noWrap/>
            <w:hideMark/>
          </w:tcPr>
          <w:p w:rsidR="00CF5DEA" w:rsidRDefault="00CF5DEA" w:rsidP="00CF5D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438</w:t>
            </w:r>
          </w:p>
        </w:tc>
        <w:tc>
          <w:tcPr>
            <w:tcW w:w="752" w:type="dxa"/>
            <w:noWrap/>
            <w:hideMark/>
          </w:tcPr>
          <w:p w:rsidR="00CF5DEA" w:rsidRDefault="00CF5DEA" w:rsidP="00CF5D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446</w:t>
            </w:r>
          </w:p>
        </w:tc>
        <w:tc>
          <w:tcPr>
            <w:tcW w:w="775" w:type="dxa"/>
            <w:noWrap/>
            <w:hideMark/>
          </w:tcPr>
          <w:p w:rsidR="00CF5DEA" w:rsidRDefault="00CF5DEA" w:rsidP="00CF5D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438</w:t>
            </w:r>
          </w:p>
        </w:tc>
        <w:tc>
          <w:tcPr>
            <w:tcW w:w="810" w:type="dxa"/>
            <w:noWrap/>
            <w:hideMark/>
          </w:tcPr>
          <w:p w:rsidR="00CF5DEA" w:rsidRDefault="00CF5DEA" w:rsidP="00CF5D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418</w:t>
            </w:r>
          </w:p>
        </w:tc>
        <w:tc>
          <w:tcPr>
            <w:tcW w:w="813" w:type="dxa"/>
            <w:noWrap/>
            <w:hideMark/>
          </w:tcPr>
          <w:p w:rsidR="00CF5DEA" w:rsidRDefault="00CF5DEA" w:rsidP="00CF5D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450</w:t>
            </w:r>
          </w:p>
        </w:tc>
      </w:tr>
    </w:tbl>
    <w:p w:rsidR="00CF5DEA" w:rsidRPr="00CF5DEA" w:rsidRDefault="00CF5DEA" w:rsidP="00CF5DEA">
      <w:pPr>
        <w:spacing w:line="480" w:lineRule="auto"/>
        <w:contextualSpacing/>
        <w:jc w:val="center"/>
        <w:rPr>
          <w:i/>
        </w:rPr>
      </w:pPr>
      <w:r>
        <w:rPr>
          <w:i/>
        </w:rPr>
        <w:t>Table 1</w:t>
      </w:r>
    </w:p>
    <w:p w:rsidR="00765320" w:rsidRDefault="00765320" w:rsidP="00694373">
      <w:pPr>
        <w:spacing w:line="480" w:lineRule="auto"/>
        <w:contextualSpacing/>
      </w:pPr>
      <w:r>
        <w:t xml:space="preserve">     Several available products were compared using the assumptions mentioned above. Figure </w:t>
      </w:r>
      <w:r w:rsidR="008E4664">
        <w:t xml:space="preserve">3 </w:t>
      </w:r>
      <w:r>
        <w:t xml:space="preserve">shows that paying the initial cost of an appropriate U-Value and/or SHGC </w:t>
      </w:r>
      <w:r w:rsidR="0047497A">
        <w:t>can significantly decrease the energy costs related to the windows over the twenty year life span of the house.</w:t>
      </w:r>
    </w:p>
    <w:p w:rsidR="00765320" w:rsidRDefault="004F011B" w:rsidP="00765320">
      <w:pPr>
        <w:spacing w:line="480" w:lineRule="auto"/>
        <w:contextualSpacing/>
        <w:jc w:val="center"/>
      </w:pPr>
      <w:r>
        <w:rPr>
          <w:noProof/>
        </w:rPr>
        <w:drawing>
          <wp:inline distT="0" distB="0" distL="0" distR="0" wp14:anchorId="75252B92" wp14:editId="4ACAD57C">
            <wp:extent cx="5943600" cy="4180205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65320" w:rsidRPr="00765320" w:rsidRDefault="00765320" w:rsidP="00765320">
      <w:pPr>
        <w:spacing w:line="480" w:lineRule="auto"/>
        <w:contextualSpacing/>
        <w:jc w:val="center"/>
        <w:rPr>
          <w:i/>
        </w:rPr>
      </w:pPr>
      <w:r>
        <w:rPr>
          <w:i/>
        </w:rPr>
        <w:t xml:space="preserve">Figure </w:t>
      </w:r>
      <w:r w:rsidR="008E4664">
        <w:rPr>
          <w:i/>
        </w:rPr>
        <w:t>3</w:t>
      </w:r>
    </w:p>
    <w:p w:rsidR="002A0A89" w:rsidRDefault="004F483C" w:rsidP="00694373">
      <w:pPr>
        <w:spacing w:line="480" w:lineRule="auto"/>
        <w:contextualSpacing/>
      </w:pPr>
      <w:r>
        <w:t xml:space="preserve">     </w:t>
      </w:r>
      <w:r w:rsidR="006A73E0">
        <w:t>Doug Rye of the Doug Rye radio show</w:t>
      </w:r>
      <w:r w:rsidR="002E426E">
        <w:t>, based in Little Rock, AR, has been helping homeowners improve the efficiency of their homes for nearly thirty years.</w:t>
      </w:r>
      <w:r w:rsidR="006A73E0">
        <w:t xml:space="preserve"> </w:t>
      </w:r>
      <w:r w:rsidR="002E426E">
        <w:t xml:space="preserve">He </w:t>
      </w:r>
      <w:r w:rsidR="006A73E0">
        <w:t>was contacted and was able to offer some advice regarding window selection</w:t>
      </w:r>
      <w:r w:rsidR="006A73E0" w:rsidRPr="00CF5DEA">
        <w:t xml:space="preserve">. He explained that in his experience at </w:t>
      </w:r>
      <w:r w:rsidR="006A73E0" w:rsidRPr="00CF5DEA">
        <w:lastRenderedPageBreak/>
        <w:t>least, the department store windows are</w:t>
      </w:r>
      <w:r w:rsidR="00CF5DEA">
        <w:t xml:space="preserve"> of</w:t>
      </w:r>
      <w:r w:rsidR="006A73E0" w:rsidRPr="00CF5DEA">
        <w:t xml:space="preserve"> poor quality and </w:t>
      </w:r>
      <w:r w:rsidR="00CF5DEA">
        <w:t>quickly deteriorate below their marketed energy ratings</w:t>
      </w:r>
      <w:r w:rsidR="006A73E0" w:rsidRPr="00CF5DEA">
        <w:t>. He</w:t>
      </w:r>
      <w:r w:rsidR="006A73E0">
        <w:t xml:space="preserve"> recommended Harry G. Barr in the Fort Smith area as a window contractor to work with.</w:t>
      </w:r>
    </w:p>
    <w:p w:rsidR="002A0A89" w:rsidRDefault="002A0A89" w:rsidP="00694373">
      <w:pPr>
        <w:spacing w:line="480" w:lineRule="auto"/>
        <w:contextualSpacing/>
        <w:rPr>
          <w:b/>
        </w:rPr>
      </w:pPr>
      <w:r>
        <w:rPr>
          <w:b/>
        </w:rPr>
        <w:t>Conclusions:</w:t>
      </w:r>
    </w:p>
    <w:p w:rsidR="00694373" w:rsidRDefault="000D6606" w:rsidP="00694373">
      <w:pPr>
        <w:spacing w:line="480" w:lineRule="auto"/>
        <w:contextualSpacing/>
      </w:pPr>
      <w:r>
        <w:t xml:space="preserve">     The key factors in </w:t>
      </w:r>
      <w:r w:rsidR="005B258C">
        <w:t>window selection are a U-Value less than or equal to</w:t>
      </w:r>
      <w:r>
        <w:t xml:space="preserve"> 0.3</w:t>
      </w:r>
      <w:r w:rsidR="005B258C">
        <w:t>0</w:t>
      </w:r>
      <w:r>
        <w:t xml:space="preserve"> and a Sol</w:t>
      </w:r>
      <w:r w:rsidR="005B258C">
        <w:t xml:space="preserve">ar Heat Gain Coefficient (SHGC) less than or equal to </w:t>
      </w:r>
      <w:r>
        <w:t>0.30.</w:t>
      </w:r>
      <w:r w:rsidRPr="000D6606">
        <w:t xml:space="preserve"> </w:t>
      </w:r>
      <w:r>
        <w:t>A Low-E coating is</w:t>
      </w:r>
      <w:r w:rsidR="00765320">
        <w:t xml:space="preserve"> recommended as it helps to achieve these values as well as decreas</w:t>
      </w:r>
      <w:r w:rsidR="00D57681">
        <w:t>ed</w:t>
      </w:r>
      <w:r w:rsidR="00765320">
        <w:t xml:space="preserve"> fading. A vinyl framed</w:t>
      </w:r>
      <w:r w:rsidR="00E72CD2">
        <w:t>, single hung</w:t>
      </w:r>
      <w:r w:rsidR="00765320">
        <w:t xml:space="preserve"> window with two layers of glaze w</w:t>
      </w:r>
      <w:r w:rsidR="00E72CD2">
        <w:t>ill decreas</w:t>
      </w:r>
      <w:r w:rsidR="00D57681">
        <w:t>e the total lifetime cost for the homeowner</w:t>
      </w:r>
      <w:r w:rsidR="00E72CD2">
        <w:t>.</w:t>
      </w:r>
      <w:r w:rsidR="006A73E0">
        <w:t xml:space="preserve"> Orientation will not have a severe impact on the energy cost if </w:t>
      </w:r>
      <w:r w:rsidR="004F011B">
        <w:t>recommended</w:t>
      </w:r>
      <w:r w:rsidR="006A73E0" w:rsidRPr="004F011B">
        <w:t xml:space="preserve"> energy values are </w:t>
      </w:r>
      <w:r w:rsidR="004F011B">
        <w:t>implemented</w:t>
      </w:r>
      <w:r w:rsidR="006A73E0" w:rsidRPr="004F011B">
        <w:t>.</w:t>
      </w:r>
      <w:r w:rsidR="002E426E">
        <w:t xml:space="preserve"> It is recommended that windows be purchased outside of a department store for quality.</w:t>
      </w:r>
    </w:p>
    <w:p w:rsidR="00765320" w:rsidRDefault="00765320" w:rsidP="00694373">
      <w:pPr>
        <w:spacing w:line="480" w:lineRule="auto"/>
        <w:contextualSpacing/>
      </w:pPr>
    </w:p>
    <w:p w:rsidR="002A0A89" w:rsidRDefault="002A0A89" w:rsidP="00694373">
      <w:pPr>
        <w:spacing w:line="480" w:lineRule="auto"/>
        <w:contextualSpacing/>
        <w:rPr>
          <w:b/>
        </w:rPr>
      </w:pPr>
      <w:r>
        <w:rPr>
          <w:b/>
        </w:rPr>
        <w:t>References:</w:t>
      </w:r>
    </w:p>
    <w:p w:rsidR="00694373" w:rsidRDefault="00621867" w:rsidP="00694373">
      <w:pPr>
        <w:spacing w:line="480" w:lineRule="auto"/>
        <w:contextualSpacing/>
      </w:pPr>
      <w:hyperlink r:id="rId10" w:history="1">
        <w:r w:rsidR="002A0A89" w:rsidRPr="002D5AF9">
          <w:rPr>
            <w:rStyle w:val="Hyperlink"/>
          </w:rPr>
          <w:t>www.efficientwindows.org</w:t>
        </w:r>
      </w:hyperlink>
    </w:p>
    <w:p w:rsidR="005B258C" w:rsidRDefault="002A0A89">
      <w:pPr>
        <w:spacing w:line="480" w:lineRule="auto"/>
        <w:contextualSpacing/>
      </w:pPr>
      <w:r>
        <w:t>Doug Rye</w:t>
      </w:r>
      <w:r w:rsidR="005B258C">
        <w:t xml:space="preserve"> – </w:t>
      </w:r>
      <w:hyperlink r:id="rId11" w:history="1">
        <w:r w:rsidR="005B258C" w:rsidRPr="009D54FE">
          <w:rPr>
            <w:rStyle w:val="Hyperlink"/>
          </w:rPr>
          <w:t>www.DougRye.com</w:t>
        </w:r>
      </w:hyperlink>
    </w:p>
    <w:sectPr w:rsidR="005B258C" w:rsidSect="00E55E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B1002"/>
    <w:multiLevelType w:val="hybridMultilevel"/>
    <w:tmpl w:val="BA18C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0632"/>
    <w:rsid w:val="00085C0E"/>
    <w:rsid w:val="000D6606"/>
    <w:rsid w:val="00145A04"/>
    <w:rsid w:val="002452C1"/>
    <w:rsid w:val="00276EB4"/>
    <w:rsid w:val="002A0A89"/>
    <w:rsid w:val="002C2360"/>
    <w:rsid w:val="002E426E"/>
    <w:rsid w:val="0031759A"/>
    <w:rsid w:val="00322A60"/>
    <w:rsid w:val="00341288"/>
    <w:rsid w:val="0034230B"/>
    <w:rsid w:val="0036028A"/>
    <w:rsid w:val="003B08BB"/>
    <w:rsid w:val="003B6D85"/>
    <w:rsid w:val="0047497A"/>
    <w:rsid w:val="004D193E"/>
    <w:rsid w:val="004F011B"/>
    <w:rsid w:val="004F483C"/>
    <w:rsid w:val="005112D8"/>
    <w:rsid w:val="005567CC"/>
    <w:rsid w:val="005B258C"/>
    <w:rsid w:val="005C48C1"/>
    <w:rsid w:val="00621867"/>
    <w:rsid w:val="00631333"/>
    <w:rsid w:val="00671F56"/>
    <w:rsid w:val="00694373"/>
    <w:rsid w:val="006A73E0"/>
    <w:rsid w:val="006D6ED1"/>
    <w:rsid w:val="007473C8"/>
    <w:rsid w:val="00752498"/>
    <w:rsid w:val="00765320"/>
    <w:rsid w:val="007A4CA2"/>
    <w:rsid w:val="00822C21"/>
    <w:rsid w:val="0086549F"/>
    <w:rsid w:val="00872999"/>
    <w:rsid w:val="008C718E"/>
    <w:rsid w:val="008E4664"/>
    <w:rsid w:val="008F19D9"/>
    <w:rsid w:val="00914D8A"/>
    <w:rsid w:val="009520BC"/>
    <w:rsid w:val="00953E2A"/>
    <w:rsid w:val="0095643B"/>
    <w:rsid w:val="009C2C94"/>
    <w:rsid w:val="009E605D"/>
    <w:rsid w:val="00A90965"/>
    <w:rsid w:val="00A91982"/>
    <w:rsid w:val="00AE4764"/>
    <w:rsid w:val="00AE73B7"/>
    <w:rsid w:val="00AF444C"/>
    <w:rsid w:val="00B42D31"/>
    <w:rsid w:val="00B6155B"/>
    <w:rsid w:val="00BA1718"/>
    <w:rsid w:val="00C069D7"/>
    <w:rsid w:val="00C23DC1"/>
    <w:rsid w:val="00C64342"/>
    <w:rsid w:val="00CF5DEA"/>
    <w:rsid w:val="00D0239A"/>
    <w:rsid w:val="00D57681"/>
    <w:rsid w:val="00DB4F33"/>
    <w:rsid w:val="00DE0632"/>
    <w:rsid w:val="00E31A61"/>
    <w:rsid w:val="00E55EF0"/>
    <w:rsid w:val="00E72CD2"/>
    <w:rsid w:val="00E8626B"/>
    <w:rsid w:val="00F1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48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632"/>
    <w:pPr>
      <w:spacing w:after="0" w:line="240" w:lineRule="auto"/>
      <w:jc w:val="left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47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14D8A"/>
    <w:pPr>
      <w:spacing w:after="200" w:line="480" w:lineRule="auto"/>
      <w:ind w:left="720"/>
      <w:contextualSpacing/>
      <w:jc w:val="center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2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26B"/>
    <w:rPr>
      <w:rFonts w:ascii="Tahoma" w:eastAsia="Times New Roman" w:hAnsi="Tahoma" w:cs="Tahoma"/>
      <w:sz w:val="16"/>
      <w:szCs w:val="16"/>
    </w:rPr>
  </w:style>
  <w:style w:type="table" w:styleId="MediumGrid1-Accent1">
    <w:name w:val="Medium Grid 1 Accent 1"/>
    <w:basedOn w:val="TableNormal"/>
    <w:uiPriority w:val="67"/>
    <w:rsid w:val="003175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Shading1-Accent1">
    <w:name w:val="Medium Shading 1 Accent 1"/>
    <w:basedOn w:val="TableNormal"/>
    <w:uiPriority w:val="63"/>
    <w:rsid w:val="003175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1">
    <w:name w:val="Light Grid Accent 1"/>
    <w:basedOn w:val="TableNormal"/>
    <w:uiPriority w:val="62"/>
    <w:rsid w:val="003175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7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DougRye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fficientwindows.org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m-drives\ashafer1\ENGR%20330\ENGR_window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m-drives\ashafer1\ENGR%20330\ENGR_windows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m-drives\ashafer1\ENGR%20330\ENGR_window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Solar Heat Gain Coefficient Comparison</a:t>
            </a:r>
          </a:p>
        </c:rich>
      </c:tx>
      <c:layout/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v>SHGC = 0.41</c:v>
          </c:tx>
          <c:xVal>
            <c:numRef>
              <c:f>(Sheet1!$A$3,Sheet1!$A$5,Sheet1!$A$7,Sheet1!$A$10,Sheet1!$A$11)</c:f>
              <c:numCache>
                <c:formatCode>General</c:formatCode>
                <c:ptCount val="5"/>
                <c:pt idx="0">
                  <c:v>0.26</c:v>
                </c:pt>
                <c:pt idx="1">
                  <c:v>0.31000000000000005</c:v>
                </c:pt>
                <c:pt idx="2">
                  <c:v>0.41000000000000003</c:v>
                </c:pt>
                <c:pt idx="3">
                  <c:v>0.56000000000000005</c:v>
                </c:pt>
                <c:pt idx="4">
                  <c:v>0.71000000000000008</c:v>
                </c:pt>
              </c:numCache>
            </c:numRef>
          </c:xVal>
          <c:yVal>
            <c:numRef>
              <c:f>(Sheet1!$I$3,Sheet1!$I$5,Sheet1!$I$7,Sheet1!$I$10,Sheet1!$I$11)</c:f>
              <c:numCache>
                <c:formatCode>General</c:formatCode>
                <c:ptCount val="5"/>
                <c:pt idx="0">
                  <c:v>478.81516648417153</c:v>
                </c:pt>
                <c:pt idx="1">
                  <c:v>503.23377113533434</c:v>
                </c:pt>
                <c:pt idx="2">
                  <c:v>547.20480245087595</c:v>
                </c:pt>
                <c:pt idx="3">
                  <c:v>649.83311375955316</c:v>
                </c:pt>
                <c:pt idx="4">
                  <c:v>732.90899840385191</c:v>
                </c:pt>
              </c:numCache>
            </c:numRef>
          </c:yVal>
          <c:smooth val="1"/>
        </c:ser>
        <c:ser>
          <c:idx val="1"/>
          <c:order val="1"/>
          <c:tx>
            <c:v>SHGC = 0.25</c:v>
          </c:tx>
          <c:xVal>
            <c:numRef>
              <c:f>(Sheet1!$A$2,Sheet1!$A$4,Sheet1!$A$6,Sheet1!$A$8)</c:f>
              <c:numCache>
                <c:formatCode>General</c:formatCode>
                <c:ptCount val="4"/>
                <c:pt idx="0">
                  <c:v>0.26</c:v>
                </c:pt>
                <c:pt idx="1">
                  <c:v>0.31000000000000005</c:v>
                </c:pt>
                <c:pt idx="2">
                  <c:v>0.41000000000000003</c:v>
                </c:pt>
                <c:pt idx="3">
                  <c:v>0.56000000000000005</c:v>
                </c:pt>
              </c:numCache>
            </c:numRef>
          </c:xVal>
          <c:yVal>
            <c:numRef>
              <c:f>(Sheet1!$I$2,Sheet1!$I$4,Sheet1!$I$6,Sheet1!$I$8)</c:f>
              <c:numCache>
                <c:formatCode>General</c:formatCode>
                <c:ptCount val="4"/>
                <c:pt idx="0">
                  <c:v>517.92001981292867</c:v>
                </c:pt>
                <c:pt idx="1">
                  <c:v>561.89105112847028</c:v>
                </c:pt>
                <c:pt idx="2">
                  <c:v>613.20520678280889</c:v>
                </c:pt>
                <c:pt idx="3">
                  <c:v>657.1762380983505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3444608"/>
        <c:axId val="33446528"/>
      </c:scatterChart>
      <c:valAx>
        <c:axId val="33444608"/>
        <c:scaling>
          <c:orientation val="minMax"/>
          <c:min val="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U-Value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crossAx val="33446528"/>
        <c:crosses val="autoZero"/>
        <c:crossBetween val="midCat"/>
      </c:valAx>
      <c:valAx>
        <c:axId val="3344652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Annual Energy cost  per Window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crossAx val="33444608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77300538514529515"/>
          <c:y val="0.58014366571125942"/>
          <c:w val="0.16449948400412848"/>
          <c:h val="0.2139245119209553"/>
        </c:manualLayout>
      </c:layout>
      <c:overlay val="1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Energy Costs of Frame Types per Window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1"/>
          <c:order val="0"/>
          <c:tx>
            <c:strRef>
              <c:f>Framing!$N$1</c:f>
              <c:strCache>
                <c:ptCount val="1"/>
                <c:pt idx="0">
                  <c:v>Non-metal, Therm</c:v>
                </c:pt>
              </c:strCache>
            </c:strRef>
          </c:tx>
          <c:marker>
            <c:symbol val="none"/>
          </c:marker>
          <c:val>
            <c:numRef>
              <c:f>Framing!$N$2:$N$21</c:f>
              <c:numCache>
                <c:formatCode>General</c:formatCode>
                <c:ptCount val="20"/>
                <c:pt idx="0">
                  <c:v>525.74099047868049</c:v>
                </c:pt>
                <c:pt idx="1">
                  <c:v>1051.4819809573603</c:v>
                </c:pt>
                <c:pt idx="2">
                  <c:v>1577.222971436041</c:v>
                </c:pt>
                <c:pt idx="3">
                  <c:v>2102.9639619147206</c:v>
                </c:pt>
                <c:pt idx="4">
                  <c:v>2628.7049523934011</c:v>
                </c:pt>
                <c:pt idx="5">
                  <c:v>3154.445942872082</c:v>
                </c:pt>
                <c:pt idx="6">
                  <c:v>3680.1869333507616</c:v>
                </c:pt>
                <c:pt idx="7">
                  <c:v>4205.9279238294421</c:v>
                </c:pt>
                <c:pt idx="8">
                  <c:v>4731.6689143081221</c:v>
                </c:pt>
                <c:pt idx="9">
                  <c:v>5257.4099047868021</c:v>
                </c:pt>
                <c:pt idx="10">
                  <c:v>5783.150895265484</c:v>
                </c:pt>
                <c:pt idx="11">
                  <c:v>6308.8918857441622</c:v>
                </c:pt>
                <c:pt idx="12">
                  <c:v>6834.6328762228432</c:v>
                </c:pt>
                <c:pt idx="13">
                  <c:v>7360.3738667015241</c:v>
                </c:pt>
                <c:pt idx="14">
                  <c:v>7886.1148571802032</c:v>
                </c:pt>
                <c:pt idx="15">
                  <c:v>8411.8558476588823</c:v>
                </c:pt>
                <c:pt idx="16">
                  <c:v>8937.5968381375642</c:v>
                </c:pt>
                <c:pt idx="17">
                  <c:v>9463.3378286162442</c:v>
                </c:pt>
                <c:pt idx="18">
                  <c:v>9989.0788190949224</c:v>
                </c:pt>
                <c:pt idx="19">
                  <c:v>10514.819809573602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Framing!$O$1</c:f>
              <c:strCache>
                <c:ptCount val="1"/>
                <c:pt idx="0">
                  <c:v>Non-metal</c:v>
                </c:pt>
              </c:strCache>
            </c:strRef>
          </c:tx>
          <c:marker>
            <c:symbol val="none"/>
          </c:marker>
          <c:val>
            <c:numRef>
              <c:f>Framing!$O$2:$O$21</c:f>
              <c:numCache>
                <c:formatCode>General</c:formatCode>
                <c:ptCount val="20"/>
                <c:pt idx="0">
                  <c:v>546.26665274041568</c:v>
                </c:pt>
                <c:pt idx="1">
                  <c:v>1092.5333054808316</c:v>
                </c:pt>
                <c:pt idx="2">
                  <c:v>1638.7999582212476</c:v>
                </c:pt>
                <c:pt idx="3">
                  <c:v>2185.0666109616627</c:v>
                </c:pt>
                <c:pt idx="4">
                  <c:v>2731.3332637020794</c:v>
                </c:pt>
                <c:pt idx="5">
                  <c:v>3277.5999164424957</c:v>
                </c:pt>
                <c:pt idx="6">
                  <c:v>3823.8665691829101</c:v>
                </c:pt>
                <c:pt idx="7">
                  <c:v>4370.1332219233273</c:v>
                </c:pt>
                <c:pt idx="8">
                  <c:v>4916.3998746637444</c:v>
                </c:pt>
                <c:pt idx="9">
                  <c:v>5462.6665274041598</c:v>
                </c:pt>
                <c:pt idx="10">
                  <c:v>6008.9331801445715</c:v>
                </c:pt>
                <c:pt idx="11">
                  <c:v>6555.1998328849904</c:v>
                </c:pt>
                <c:pt idx="12">
                  <c:v>7101.4664856254058</c:v>
                </c:pt>
                <c:pt idx="13">
                  <c:v>7647.7331383658211</c:v>
                </c:pt>
                <c:pt idx="14">
                  <c:v>8193.9997911062364</c:v>
                </c:pt>
                <c:pt idx="15">
                  <c:v>8740.2664438466527</c:v>
                </c:pt>
                <c:pt idx="16">
                  <c:v>9286.5330965870671</c:v>
                </c:pt>
                <c:pt idx="17">
                  <c:v>9832.799749327487</c:v>
                </c:pt>
                <c:pt idx="18">
                  <c:v>10379.0664020679</c:v>
                </c:pt>
                <c:pt idx="19">
                  <c:v>10925.333054808316</c:v>
                </c:pt>
              </c:numCache>
            </c:numRef>
          </c:val>
          <c:smooth val="0"/>
        </c:ser>
        <c:ser>
          <c:idx val="3"/>
          <c:order val="2"/>
          <c:tx>
            <c:strRef>
              <c:f>Framing!$P$1</c:f>
              <c:strCache>
                <c:ptCount val="1"/>
                <c:pt idx="0">
                  <c:v>Metal, Therm</c:v>
                </c:pt>
              </c:strCache>
            </c:strRef>
          </c:tx>
          <c:marker>
            <c:symbol val="none"/>
          </c:marker>
          <c:val>
            <c:numRef>
              <c:f>Framing!$P$2:$P$21</c:f>
              <c:numCache>
                <c:formatCode>General</c:formatCode>
                <c:ptCount val="20"/>
                <c:pt idx="0">
                  <c:v>603.91561124929808</c:v>
                </c:pt>
                <c:pt idx="1">
                  <c:v>1207.8312224985959</c:v>
                </c:pt>
                <c:pt idx="2">
                  <c:v>1811.7468337478945</c:v>
                </c:pt>
                <c:pt idx="3">
                  <c:v>2415.6624449971919</c:v>
                </c:pt>
                <c:pt idx="4">
                  <c:v>3019.5780562464911</c:v>
                </c:pt>
                <c:pt idx="5">
                  <c:v>3623.4936674957885</c:v>
                </c:pt>
                <c:pt idx="6">
                  <c:v>4227.4092787450863</c:v>
                </c:pt>
                <c:pt idx="7">
                  <c:v>4831.3248899943846</c:v>
                </c:pt>
                <c:pt idx="8">
                  <c:v>5435.240501243683</c:v>
                </c:pt>
                <c:pt idx="9">
                  <c:v>6039.1561124929822</c:v>
                </c:pt>
                <c:pt idx="10">
                  <c:v>6643.0717237422787</c:v>
                </c:pt>
                <c:pt idx="11">
                  <c:v>7246.987334991577</c:v>
                </c:pt>
                <c:pt idx="12">
                  <c:v>7850.9029462408744</c:v>
                </c:pt>
                <c:pt idx="13">
                  <c:v>8454.8185574901709</c:v>
                </c:pt>
                <c:pt idx="14">
                  <c:v>9058.7341687394746</c:v>
                </c:pt>
                <c:pt idx="15">
                  <c:v>9662.6497799887693</c:v>
                </c:pt>
                <c:pt idx="16">
                  <c:v>10266.565391238066</c:v>
                </c:pt>
                <c:pt idx="17">
                  <c:v>10870.481002487364</c:v>
                </c:pt>
                <c:pt idx="18">
                  <c:v>11474.396613736662</c:v>
                </c:pt>
                <c:pt idx="19">
                  <c:v>12078.312224985963</c:v>
                </c:pt>
              </c:numCache>
            </c:numRef>
          </c:val>
          <c:smooth val="0"/>
        </c:ser>
        <c:ser>
          <c:idx val="4"/>
          <c:order val="3"/>
          <c:tx>
            <c:strRef>
              <c:f>Framing!$Q$1</c:f>
              <c:strCache>
                <c:ptCount val="1"/>
                <c:pt idx="0">
                  <c:v>Metal</c:v>
                </c:pt>
              </c:strCache>
            </c:strRef>
          </c:tx>
          <c:marker>
            <c:symbol val="none"/>
          </c:marker>
          <c:val>
            <c:numRef>
              <c:f>Framing!$Q$2:$Q$21</c:f>
              <c:numCache>
                <c:formatCode>General</c:formatCode>
                <c:ptCount val="20"/>
                <c:pt idx="0">
                  <c:v>642.02968603725003</c:v>
                </c:pt>
                <c:pt idx="1">
                  <c:v>1284.0593720744998</c:v>
                </c:pt>
                <c:pt idx="2">
                  <c:v>1926.0890581117501</c:v>
                </c:pt>
                <c:pt idx="3">
                  <c:v>2568.1187441489997</c:v>
                </c:pt>
                <c:pt idx="4">
                  <c:v>3210.1484301862497</c:v>
                </c:pt>
                <c:pt idx="5">
                  <c:v>3852.1781162235006</c:v>
                </c:pt>
                <c:pt idx="6">
                  <c:v>4494.2078022607493</c:v>
                </c:pt>
                <c:pt idx="7">
                  <c:v>5136.2374882979984</c:v>
                </c:pt>
                <c:pt idx="8">
                  <c:v>5778.2671743352503</c:v>
                </c:pt>
                <c:pt idx="9">
                  <c:v>6420.2968603725003</c:v>
                </c:pt>
                <c:pt idx="10">
                  <c:v>7062.3265464097522</c:v>
                </c:pt>
                <c:pt idx="11">
                  <c:v>7704.3562324470013</c:v>
                </c:pt>
                <c:pt idx="12">
                  <c:v>8346.3859184842477</c:v>
                </c:pt>
                <c:pt idx="13">
                  <c:v>8988.4156045214986</c:v>
                </c:pt>
                <c:pt idx="14">
                  <c:v>9630.4452905587495</c:v>
                </c:pt>
                <c:pt idx="15">
                  <c:v>10272.474976596</c:v>
                </c:pt>
                <c:pt idx="16">
                  <c:v>10914.504662633251</c:v>
                </c:pt>
                <c:pt idx="17">
                  <c:v>11556.534348670504</c:v>
                </c:pt>
                <c:pt idx="18">
                  <c:v>12198.564034707748</c:v>
                </c:pt>
                <c:pt idx="19">
                  <c:v>12840.593720745002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479680"/>
        <c:axId val="33485952"/>
      </c:lineChart>
      <c:catAx>
        <c:axId val="3347968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Years</a:t>
                </a:r>
              </a:p>
            </c:rich>
          </c:tx>
          <c:layout/>
          <c:overlay val="0"/>
        </c:title>
        <c:majorTickMark val="out"/>
        <c:minorTickMark val="none"/>
        <c:tickLblPos val="nextTo"/>
        <c:crossAx val="33485952"/>
        <c:crosses val="autoZero"/>
        <c:auto val="1"/>
        <c:lblAlgn val="ctr"/>
        <c:lblOffset val="100"/>
        <c:noMultiLvlLbl val="0"/>
      </c:catAx>
      <c:valAx>
        <c:axId val="33485952"/>
        <c:scaling>
          <c:orientation val="minMax"/>
          <c:max val="1300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Total Cost ($)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3347968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Total Costs - Initial Purchase and Energy Loss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Sheet3!$E$2</c:f>
              <c:strCache>
                <c:ptCount val="1"/>
                <c:pt idx="0">
                  <c:v>ThermaStar</c:v>
                </c:pt>
              </c:strCache>
            </c:strRef>
          </c:tx>
          <c:marker>
            <c:symbol val="none"/>
          </c:marker>
          <c:cat>
            <c:numRef>
              <c:f>Sheet3!$A$3:$A$22</c:f>
              <c:numCache>
                <c:formatCode>General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</c:numCache>
            </c:numRef>
          </c:cat>
          <c:val>
            <c:numRef>
              <c:f>Sheet3!$K$2:$K$22</c:f>
              <c:numCache>
                <c:formatCode>General</c:formatCode>
                <c:ptCount val="21"/>
                <c:pt idx="0">
                  <c:v>994</c:v>
                </c:pt>
                <c:pt idx="1">
                  <c:v>1547</c:v>
                </c:pt>
                <c:pt idx="2">
                  <c:v>2100</c:v>
                </c:pt>
                <c:pt idx="3">
                  <c:v>2653</c:v>
                </c:pt>
                <c:pt idx="4">
                  <c:v>3206</c:v>
                </c:pt>
                <c:pt idx="5">
                  <c:v>3759</c:v>
                </c:pt>
                <c:pt idx="6">
                  <c:v>4312</c:v>
                </c:pt>
                <c:pt idx="7">
                  <c:v>4865</c:v>
                </c:pt>
                <c:pt idx="8">
                  <c:v>5418</c:v>
                </c:pt>
                <c:pt idx="9">
                  <c:v>5971</c:v>
                </c:pt>
                <c:pt idx="10">
                  <c:v>6524</c:v>
                </c:pt>
                <c:pt idx="11">
                  <c:v>7077</c:v>
                </c:pt>
                <c:pt idx="12">
                  <c:v>7630</c:v>
                </c:pt>
                <c:pt idx="13">
                  <c:v>8183</c:v>
                </c:pt>
                <c:pt idx="14">
                  <c:v>8736</c:v>
                </c:pt>
                <c:pt idx="15">
                  <c:v>9289</c:v>
                </c:pt>
                <c:pt idx="16">
                  <c:v>9842</c:v>
                </c:pt>
                <c:pt idx="17">
                  <c:v>10395</c:v>
                </c:pt>
                <c:pt idx="18">
                  <c:v>10948</c:v>
                </c:pt>
                <c:pt idx="19">
                  <c:v>11501</c:v>
                </c:pt>
                <c:pt idx="20">
                  <c:v>12054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Sheet3!$E$68</c:f>
              <c:strCache>
                <c:ptCount val="1"/>
                <c:pt idx="0">
                  <c:v>Showcase</c:v>
                </c:pt>
              </c:strCache>
            </c:strRef>
          </c:tx>
          <c:marker>
            <c:symbol val="none"/>
          </c:marker>
          <c:val>
            <c:numRef>
              <c:f>Sheet3!$K$68:$K$88</c:f>
              <c:numCache>
                <c:formatCode>General</c:formatCode>
                <c:ptCount val="21"/>
                <c:pt idx="0">
                  <c:v>630</c:v>
                </c:pt>
                <c:pt idx="1">
                  <c:v>1190</c:v>
                </c:pt>
                <c:pt idx="2">
                  <c:v>1750</c:v>
                </c:pt>
                <c:pt idx="3">
                  <c:v>2310</c:v>
                </c:pt>
                <c:pt idx="4">
                  <c:v>2870</c:v>
                </c:pt>
                <c:pt idx="5">
                  <c:v>3430</c:v>
                </c:pt>
                <c:pt idx="6">
                  <c:v>3990</c:v>
                </c:pt>
                <c:pt idx="7">
                  <c:v>4550</c:v>
                </c:pt>
                <c:pt idx="8">
                  <c:v>5110</c:v>
                </c:pt>
                <c:pt idx="9">
                  <c:v>5670</c:v>
                </c:pt>
                <c:pt idx="10">
                  <c:v>6230</c:v>
                </c:pt>
                <c:pt idx="11">
                  <c:v>6790</c:v>
                </c:pt>
                <c:pt idx="12">
                  <c:v>7350</c:v>
                </c:pt>
                <c:pt idx="13">
                  <c:v>7910</c:v>
                </c:pt>
                <c:pt idx="14">
                  <c:v>8470</c:v>
                </c:pt>
                <c:pt idx="15">
                  <c:v>9030</c:v>
                </c:pt>
                <c:pt idx="16">
                  <c:v>9590</c:v>
                </c:pt>
                <c:pt idx="17">
                  <c:v>10150</c:v>
                </c:pt>
                <c:pt idx="18">
                  <c:v>10710</c:v>
                </c:pt>
                <c:pt idx="19">
                  <c:v>11270</c:v>
                </c:pt>
                <c:pt idx="20">
                  <c:v>11830</c:v>
                </c:pt>
              </c:numCache>
            </c:numRef>
          </c:val>
          <c:smooth val="0"/>
        </c:ser>
        <c:ser>
          <c:idx val="3"/>
          <c:order val="2"/>
          <c:tx>
            <c:strRef>
              <c:f>Sheet3!$E$24</c:f>
              <c:strCache>
                <c:ptCount val="1"/>
                <c:pt idx="0">
                  <c:v>Ply Gem</c:v>
                </c:pt>
              </c:strCache>
            </c:strRef>
          </c:tx>
          <c:marker>
            <c:symbol val="none"/>
          </c:marker>
          <c:val>
            <c:numRef>
              <c:f>Sheet3!$K$24:$K$44</c:f>
              <c:numCache>
                <c:formatCode>General</c:formatCode>
                <c:ptCount val="21"/>
                <c:pt idx="0">
                  <c:v>938</c:v>
                </c:pt>
                <c:pt idx="1">
                  <c:v>1500</c:v>
                </c:pt>
                <c:pt idx="2">
                  <c:v>2062</c:v>
                </c:pt>
                <c:pt idx="3">
                  <c:v>2624</c:v>
                </c:pt>
                <c:pt idx="4">
                  <c:v>3186</c:v>
                </c:pt>
                <c:pt idx="5">
                  <c:v>3748</c:v>
                </c:pt>
                <c:pt idx="6">
                  <c:v>4310</c:v>
                </c:pt>
                <c:pt idx="7">
                  <c:v>4872</c:v>
                </c:pt>
                <c:pt idx="8">
                  <c:v>5434</c:v>
                </c:pt>
                <c:pt idx="9">
                  <c:v>5996</c:v>
                </c:pt>
                <c:pt idx="10">
                  <c:v>6558</c:v>
                </c:pt>
                <c:pt idx="11">
                  <c:v>7120</c:v>
                </c:pt>
                <c:pt idx="12">
                  <c:v>7682</c:v>
                </c:pt>
                <c:pt idx="13">
                  <c:v>8244</c:v>
                </c:pt>
                <c:pt idx="14">
                  <c:v>8806</c:v>
                </c:pt>
                <c:pt idx="15">
                  <c:v>9368</c:v>
                </c:pt>
                <c:pt idx="16">
                  <c:v>9930</c:v>
                </c:pt>
                <c:pt idx="17">
                  <c:v>10492</c:v>
                </c:pt>
                <c:pt idx="18">
                  <c:v>11054</c:v>
                </c:pt>
                <c:pt idx="19">
                  <c:v>11616</c:v>
                </c:pt>
                <c:pt idx="20">
                  <c:v>12178</c:v>
                </c:pt>
              </c:numCache>
            </c:numRef>
          </c:val>
          <c:smooth val="0"/>
        </c:ser>
        <c:ser>
          <c:idx val="4"/>
          <c:order val="3"/>
          <c:tx>
            <c:strRef>
              <c:f>Sheet3!$E$90</c:f>
              <c:strCache>
                <c:ptCount val="1"/>
                <c:pt idx="0">
                  <c:v>JELD-WEN</c:v>
                </c:pt>
              </c:strCache>
            </c:strRef>
          </c:tx>
          <c:marker>
            <c:symbol val="none"/>
          </c:marker>
          <c:val>
            <c:numRef>
              <c:f>Sheet3!$K$90:$K$110</c:f>
              <c:numCache>
                <c:formatCode>General</c:formatCode>
                <c:ptCount val="21"/>
                <c:pt idx="0">
                  <c:v>1589</c:v>
                </c:pt>
                <c:pt idx="1">
                  <c:v>2106</c:v>
                </c:pt>
                <c:pt idx="2">
                  <c:v>2623</c:v>
                </c:pt>
                <c:pt idx="3">
                  <c:v>3140</c:v>
                </c:pt>
                <c:pt idx="4">
                  <c:v>3657</c:v>
                </c:pt>
                <c:pt idx="5">
                  <c:v>4174</c:v>
                </c:pt>
                <c:pt idx="6">
                  <c:v>4691</c:v>
                </c:pt>
                <c:pt idx="7">
                  <c:v>5208</c:v>
                </c:pt>
                <c:pt idx="8">
                  <c:v>5725</c:v>
                </c:pt>
                <c:pt idx="9">
                  <c:v>6242</c:v>
                </c:pt>
                <c:pt idx="10">
                  <c:v>6759</c:v>
                </c:pt>
                <c:pt idx="11">
                  <c:v>7276</c:v>
                </c:pt>
                <c:pt idx="12">
                  <c:v>7793</c:v>
                </c:pt>
                <c:pt idx="13">
                  <c:v>8310</c:v>
                </c:pt>
                <c:pt idx="14">
                  <c:v>8827</c:v>
                </c:pt>
                <c:pt idx="15">
                  <c:v>9344</c:v>
                </c:pt>
                <c:pt idx="16">
                  <c:v>9861</c:v>
                </c:pt>
                <c:pt idx="17">
                  <c:v>10378</c:v>
                </c:pt>
                <c:pt idx="18">
                  <c:v>10895</c:v>
                </c:pt>
                <c:pt idx="19">
                  <c:v>11412</c:v>
                </c:pt>
                <c:pt idx="20">
                  <c:v>11929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8918272"/>
        <c:axId val="81269504"/>
      </c:lineChart>
      <c:catAx>
        <c:axId val="689182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Time in years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81269504"/>
        <c:crosses val="autoZero"/>
        <c:auto val="1"/>
        <c:lblAlgn val="ctr"/>
        <c:lblOffset val="100"/>
        <c:noMultiLvlLbl val="0"/>
      </c:catAx>
      <c:valAx>
        <c:axId val="8126950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Total Costs for 7 Windows</a:t>
                </a:r>
              </a:p>
            </c:rich>
          </c:tx>
          <c:layout>
            <c:manualLayout>
              <c:xMode val="edge"/>
              <c:yMode val="edge"/>
              <c:x val="1.6666666666666687E-2"/>
              <c:y val="0.3291039661708958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68918272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7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 Shafer</dc:creator>
  <cp:lastModifiedBy>Anna J Shafer</cp:lastModifiedBy>
  <cp:revision>11</cp:revision>
  <cp:lastPrinted>2011-12-08T17:30:00Z</cp:lastPrinted>
  <dcterms:created xsi:type="dcterms:W3CDTF">2011-11-29T04:52:00Z</dcterms:created>
  <dcterms:modified xsi:type="dcterms:W3CDTF">2011-12-08T17:34:00Z</dcterms:modified>
</cp:coreProperties>
</file>